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9E4C" w14:textId="7CFEB41C" w:rsidR="009D68E3" w:rsidRPr="00E42CF8" w:rsidRDefault="00C87BEC" w:rsidP="008F7DCC">
      <w:pPr>
        <w:pStyle w:val="Heading1"/>
        <w:rPr>
          <w:rFonts w:ascii="Maiandra GD" w:hAnsi="Maiandra GD"/>
          <w:b/>
          <w:bCs/>
          <w:color w:val="153D63" w:themeColor="text2" w:themeTint="E6"/>
          <w:sz w:val="28"/>
          <w:szCs w:val="28"/>
        </w:rPr>
      </w:pPr>
      <w:r w:rsidRPr="00E42CF8">
        <w:rPr>
          <w:rFonts w:ascii="Maiandra GD" w:hAnsi="Maiandra GD"/>
          <w:b/>
          <w:bCs/>
          <w:color w:val="153D63" w:themeColor="text2" w:themeTint="E6"/>
          <w:sz w:val="28"/>
          <w:szCs w:val="28"/>
        </w:rPr>
        <w:t xml:space="preserve">PIF Preconstruction </w:t>
      </w:r>
      <w:r w:rsidR="00DE29C6" w:rsidRPr="00E42CF8">
        <w:rPr>
          <w:rFonts w:ascii="Maiandra GD" w:hAnsi="Maiandra GD"/>
          <w:b/>
          <w:bCs/>
          <w:color w:val="153D63" w:themeColor="text2" w:themeTint="E6"/>
          <w:sz w:val="28"/>
          <w:szCs w:val="28"/>
        </w:rPr>
        <w:t>Risk Scan</w:t>
      </w:r>
    </w:p>
    <w:p w14:paraId="3C245ACE" w14:textId="77777777" w:rsidR="004F6582" w:rsidRDefault="00FC30C8" w:rsidP="008F7DCC">
      <w:pPr>
        <w:pStyle w:val="Heading1"/>
        <w:rPr>
          <w:rFonts w:asciiTheme="minorHAnsi" w:eastAsiaTheme="minorHAnsi" w:hAnsiTheme="minorHAnsi" w:cstheme="minorBidi"/>
          <w:i/>
          <w:iCs/>
          <w:color w:val="215E99" w:themeColor="text2" w:themeTint="BF"/>
          <w:sz w:val="20"/>
          <w:szCs w:val="20"/>
        </w:rPr>
      </w:pPr>
      <w:r w:rsidRPr="00FC30C8">
        <w:rPr>
          <w:rFonts w:asciiTheme="minorHAnsi" w:eastAsiaTheme="minorHAnsi" w:hAnsiTheme="minorHAnsi" w:cstheme="minorBidi"/>
          <w:i/>
          <w:iCs/>
          <w:color w:val="215E99" w:themeColor="text2" w:themeTint="BF"/>
          <w:sz w:val="20"/>
          <w:szCs w:val="20"/>
        </w:rPr>
        <w:t>This sample is an anonymized composite based on several hospital projects I’ve reviewed. It reflects the type of issues I typically identify in pre</w:t>
      </w:r>
      <w:r w:rsidRPr="00FC30C8">
        <w:rPr>
          <w:rFonts w:ascii="Cambria Math" w:eastAsiaTheme="minorHAnsi" w:hAnsi="Cambria Math" w:cs="Cambria Math"/>
          <w:i/>
          <w:iCs/>
          <w:color w:val="215E99" w:themeColor="text2" w:themeTint="BF"/>
          <w:sz w:val="20"/>
          <w:szCs w:val="20"/>
        </w:rPr>
        <w:t>‑</w:t>
      </w:r>
      <w:r w:rsidRPr="00FC30C8">
        <w:rPr>
          <w:rFonts w:asciiTheme="minorHAnsi" w:eastAsiaTheme="minorHAnsi" w:hAnsiTheme="minorHAnsi" w:cstheme="minorBidi"/>
          <w:i/>
          <w:iCs/>
          <w:color w:val="215E99" w:themeColor="text2" w:themeTint="BF"/>
          <w:sz w:val="20"/>
          <w:szCs w:val="20"/>
        </w:rPr>
        <w:t xml:space="preserve">tender packages </w:t>
      </w:r>
      <w:r w:rsidRPr="00FC30C8">
        <w:rPr>
          <w:rFonts w:ascii="Aptos" w:eastAsiaTheme="minorHAnsi" w:hAnsi="Aptos" w:cs="Aptos"/>
          <w:i/>
          <w:iCs/>
          <w:color w:val="215E99" w:themeColor="text2" w:themeTint="BF"/>
          <w:sz w:val="20"/>
          <w:szCs w:val="20"/>
        </w:rPr>
        <w:t>—</w:t>
      </w:r>
      <w:r w:rsidRPr="00FC30C8">
        <w:rPr>
          <w:rFonts w:asciiTheme="minorHAnsi" w:eastAsiaTheme="minorHAnsi" w:hAnsiTheme="minorHAnsi" w:cstheme="minorBidi"/>
          <w:i/>
          <w:iCs/>
          <w:color w:val="215E99" w:themeColor="text2" w:themeTint="BF"/>
          <w:sz w:val="20"/>
          <w:szCs w:val="20"/>
        </w:rPr>
        <w:t xml:space="preserve"> shutdown sequencing, infection</w:t>
      </w:r>
      <w:r w:rsidRPr="00FC30C8">
        <w:rPr>
          <w:rFonts w:ascii="Cambria Math" w:eastAsiaTheme="minorHAnsi" w:hAnsi="Cambria Math" w:cs="Cambria Math"/>
          <w:i/>
          <w:iCs/>
          <w:color w:val="215E99" w:themeColor="text2" w:themeTint="BF"/>
          <w:sz w:val="20"/>
          <w:szCs w:val="20"/>
        </w:rPr>
        <w:t>‑</w:t>
      </w:r>
      <w:r w:rsidRPr="00FC30C8">
        <w:rPr>
          <w:rFonts w:asciiTheme="minorHAnsi" w:eastAsiaTheme="minorHAnsi" w:hAnsiTheme="minorHAnsi" w:cstheme="minorBidi"/>
          <w:i/>
          <w:iCs/>
          <w:color w:val="215E99" w:themeColor="text2" w:themeTint="BF"/>
          <w:sz w:val="20"/>
          <w:szCs w:val="20"/>
        </w:rPr>
        <w:t>control gaps, and cross</w:t>
      </w:r>
      <w:r w:rsidRPr="00FC30C8">
        <w:rPr>
          <w:rFonts w:ascii="Cambria Math" w:eastAsiaTheme="minorHAnsi" w:hAnsi="Cambria Math" w:cs="Cambria Math"/>
          <w:i/>
          <w:iCs/>
          <w:color w:val="215E99" w:themeColor="text2" w:themeTint="BF"/>
          <w:sz w:val="20"/>
          <w:szCs w:val="20"/>
        </w:rPr>
        <w:t>‑</w:t>
      </w:r>
      <w:r w:rsidRPr="00FC30C8">
        <w:rPr>
          <w:rFonts w:asciiTheme="minorHAnsi" w:eastAsiaTheme="minorHAnsi" w:hAnsiTheme="minorHAnsi" w:cstheme="minorBidi"/>
          <w:i/>
          <w:iCs/>
          <w:color w:val="215E99" w:themeColor="text2" w:themeTint="BF"/>
          <w:sz w:val="20"/>
          <w:szCs w:val="20"/>
        </w:rPr>
        <w:t>discipline contradictions. I didn</w:t>
      </w:r>
      <w:r w:rsidRPr="00FC30C8">
        <w:rPr>
          <w:rFonts w:ascii="Aptos" w:eastAsiaTheme="minorHAnsi" w:hAnsi="Aptos" w:cs="Aptos"/>
          <w:i/>
          <w:iCs/>
          <w:color w:val="215E99" w:themeColor="text2" w:themeTint="BF"/>
          <w:sz w:val="20"/>
          <w:szCs w:val="20"/>
        </w:rPr>
        <w:t>’</w:t>
      </w:r>
      <w:r w:rsidRPr="00FC30C8">
        <w:rPr>
          <w:rFonts w:asciiTheme="minorHAnsi" w:eastAsiaTheme="minorHAnsi" w:hAnsiTheme="minorHAnsi" w:cstheme="minorBidi"/>
          <w:i/>
          <w:iCs/>
          <w:color w:val="215E99" w:themeColor="text2" w:themeTint="BF"/>
          <w:sz w:val="20"/>
          <w:szCs w:val="20"/>
        </w:rPr>
        <w:t>t use any confidential client material, but the format and depth are exactly what you</w:t>
      </w:r>
      <w:r w:rsidRPr="00FC30C8">
        <w:rPr>
          <w:rFonts w:ascii="Aptos" w:eastAsiaTheme="minorHAnsi" w:hAnsi="Aptos" w:cs="Aptos"/>
          <w:i/>
          <w:iCs/>
          <w:color w:val="215E99" w:themeColor="text2" w:themeTint="BF"/>
          <w:sz w:val="20"/>
          <w:szCs w:val="20"/>
        </w:rPr>
        <w:t>’</w:t>
      </w:r>
      <w:r w:rsidRPr="00FC30C8">
        <w:rPr>
          <w:rFonts w:asciiTheme="minorHAnsi" w:eastAsiaTheme="minorHAnsi" w:hAnsiTheme="minorHAnsi" w:cstheme="minorBidi"/>
          <w:i/>
          <w:iCs/>
          <w:color w:val="215E99" w:themeColor="text2" w:themeTint="BF"/>
          <w:sz w:val="20"/>
          <w:szCs w:val="20"/>
        </w:rPr>
        <w:t>d receive.</w:t>
      </w:r>
    </w:p>
    <w:p w14:paraId="647411B6" w14:textId="77777777" w:rsidR="009321F9" w:rsidRPr="009321F9" w:rsidRDefault="009321F9" w:rsidP="009321F9"/>
    <w:p w14:paraId="206FDF41" w14:textId="7ED493FF" w:rsidR="007B0BCA" w:rsidRPr="000B230A" w:rsidRDefault="007B0BCA" w:rsidP="000B230A">
      <w:pPr>
        <w:pStyle w:val="ListParagraph"/>
        <w:numPr>
          <w:ilvl w:val="0"/>
          <w:numId w:val="3"/>
        </w:numPr>
        <w:rPr>
          <w:rFonts w:ascii="Maiandra GD" w:eastAsiaTheme="majorEastAsia" w:hAnsi="Maiandra GD" w:cstheme="majorBidi"/>
          <w:b/>
          <w:bCs/>
          <w:color w:val="153D63" w:themeColor="text2" w:themeTint="E6"/>
          <w:sz w:val="24"/>
          <w:szCs w:val="24"/>
        </w:rPr>
      </w:pPr>
      <w:r w:rsidRPr="000B230A">
        <w:rPr>
          <w:rFonts w:ascii="Maiandra GD" w:eastAsiaTheme="majorEastAsia" w:hAnsi="Maiandra GD" w:cstheme="majorBidi"/>
          <w:b/>
          <w:bCs/>
          <w:color w:val="153D63" w:themeColor="text2" w:themeTint="E6"/>
          <w:sz w:val="24"/>
          <w:szCs w:val="24"/>
        </w:rPr>
        <w:t>Executive Summary</w:t>
      </w:r>
    </w:p>
    <w:p w14:paraId="36921E94" w14:textId="0CEAA2B0" w:rsidR="00DE4A2B" w:rsidRPr="008374A7" w:rsidRDefault="00DE4A2B" w:rsidP="008374A7">
      <w:pPr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</w:pPr>
      <w:r w:rsidRPr="008374A7"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  <w:t>The tender package is generally well</w:t>
      </w:r>
      <w:r w:rsidRPr="008374A7">
        <w:rPr>
          <w:rFonts w:ascii="Cambria Math" w:eastAsiaTheme="majorEastAsia" w:hAnsi="Cambria Math" w:cs="Cambria Math"/>
          <w:color w:val="215E99" w:themeColor="text2" w:themeTint="BF"/>
          <w:sz w:val="24"/>
          <w:szCs w:val="24"/>
        </w:rPr>
        <w:t>‑</w:t>
      </w:r>
      <w:r w:rsidRPr="008374A7"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  <w:t>assembled, but several coordination gaps and constructability risks should be addressed before release.</w:t>
      </w:r>
    </w:p>
    <w:p w14:paraId="1EABD268" w14:textId="77777777" w:rsidR="00DE4A2B" w:rsidRPr="00DE4A2B" w:rsidRDefault="00DE4A2B" w:rsidP="00DE4A2B">
      <w:pPr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</w:pPr>
      <w:r w:rsidRPr="00DE4A2B"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  <w:t>Key issues include unclear shutdown sequencing, missing infection</w:t>
      </w:r>
      <w:r w:rsidRPr="00DE4A2B">
        <w:rPr>
          <w:rFonts w:ascii="Cambria Math" w:eastAsiaTheme="majorEastAsia" w:hAnsi="Cambria Math" w:cs="Cambria Math"/>
          <w:color w:val="215E99" w:themeColor="text2" w:themeTint="BF"/>
          <w:sz w:val="24"/>
          <w:szCs w:val="24"/>
        </w:rPr>
        <w:t>‑</w:t>
      </w:r>
      <w:r w:rsidRPr="00DE4A2B"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  <w:t>control notes, and conflicting mechanical/electrical responsibilities.</w:t>
      </w:r>
    </w:p>
    <w:p w14:paraId="40B3B3ED" w14:textId="77777777" w:rsidR="00DE4A2B" w:rsidRPr="00DE4A2B" w:rsidRDefault="00DE4A2B" w:rsidP="00DE4A2B">
      <w:pPr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</w:pPr>
      <w:r w:rsidRPr="00DE4A2B"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  <w:t>Overall Risk Level: Moderate–High</w:t>
      </w:r>
    </w:p>
    <w:p w14:paraId="068052F7" w14:textId="490A6443" w:rsidR="008F7DCC" w:rsidRDefault="00DE4A2B" w:rsidP="00DE4A2B">
      <w:pPr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</w:pPr>
      <w:r w:rsidRPr="00DE4A2B">
        <w:rPr>
          <w:rFonts w:ascii="Maiandra GD" w:eastAsiaTheme="majorEastAsia" w:hAnsi="Maiandra GD" w:cstheme="majorBidi"/>
          <w:color w:val="215E99" w:themeColor="text2" w:themeTint="BF"/>
          <w:sz w:val="24"/>
          <w:szCs w:val="24"/>
        </w:rPr>
        <w:t>Recommended Action: Issue clarifications and addenda prior to tender release.</w:t>
      </w:r>
    </w:p>
    <w:p w14:paraId="5C081CAB" w14:textId="77777777" w:rsidR="005B3882" w:rsidRPr="008F7DCC" w:rsidRDefault="005B3882" w:rsidP="00DE4A2B">
      <w:pPr>
        <w:rPr>
          <w:rFonts w:ascii="Maiandra GD" w:hAnsi="Maiandra GD"/>
        </w:rPr>
      </w:pPr>
    </w:p>
    <w:p w14:paraId="0A2121A0" w14:textId="77777777" w:rsidR="005407B1" w:rsidRPr="000B230A" w:rsidRDefault="00C26524" w:rsidP="00266CBD">
      <w:pPr>
        <w:pStyle w:val="ListParagraph"/>
        <w:numPr>
          <w:ilvl w:val="0"/>
          <w:numId w:val="3"/>
        </w:numPr>
        <w:rPr>
          <w:rFonts w:ascii="Maiandra GD" w:hAnsi="Maiandra GD"/>
          <w:b/>
          <w:bCs/>
          <w:color w:val="153D63" w:themeColor="text2" w:themeTint="E6"/>
          <w:sz w:val="24"/>
          <w:szCs w:val="24"/>
        </w:rPr>
      </w:pPr>
      <w:r w:rsidRPr="000B230A">
        <w:rPr>
          <w:rFonts w:ascii="Maiandra GD" w:hAnsi="Maiandra GD"/>
          <w:b/>
          <w:bCs/>
          <w:color w:val="153D63" w:themeColor="text2" w:themeTint="E6"/>
          <w:sz w:val="24"/>
          <w:szCs w:val="24"/>
        </w:rPr>
        <w:t>High</w:t>
      </w:r>
      <w:r w:rsidRPr="000B230A">
        <w:rPr>
          <w:rFonts w:ascii="Cambria Math" w:hAnsi="Cambria Math" w:cs="Cambria Math"/>
          <w:b/>
          <w:bCs/>
          <w:color w:val="153D63" w:themeColor="text2" w:themeTint="E6"/>
          <w:sz w:val="24"/>
          <w:szCs w:val="24"/>
        </w:rPr>
        <w:t>‑</w:t>
      </w:r>
      <w:r w:rsidRPr="000B230A">
        <w:rPr>
          <w:rFonts w:ascii="Maiandra GD" w:hAnsi="Maiandra GD"/>
          <w:b/>
          <w:bCs/>
          <w:color w:val="153D63" w:themeColor="text2" w:themeTint="E6"/>
          <w:sz w:val="24"/>
          <w:szCs w:val="24"/>
        </w:rPr>
        <w:t>Priority Risks (Require Action Before Tender Release)</w:t>
      </w:r>
    </w:p>
    <w:p w14:paraId="67BBE6C2" w14:textId="6947FF7C" w:rsidR="0083782E" w:rsidRPr="005407B1" w:rsidRDefault="0083782E" w:rsidP="0083782E">
      <w:pPr>
        <w:rPr>
          <w:rFonts w:ascii="Maiandra GD" w:hAnsi="Maiandra GD"/>
          <w:b/>
          <w:bCs/>
          <w:color w:val="153D63" w:themeColor="text2" w:themeTint="E6"/>
          <w:sz w:val="24"/>
          <w:szCs w:val="24"/>
        </w:rPr>
      </w:pPr>
      <w:r w:rsidRPr="0083782E">
        <w:rPr>
          <w:rFonts w:ascii="Maiandra GD" w:hAnsi="Maiandra GD"/>
          <w:color w:val="215E99" w:themeColor="text2" w:themeTint="BF"/>
        </w:rPr>
        <w:t xml:space="preserve"> Shutdown Sequencing Not Defined</w:t>
      </w:r>
    </w:p>
    <w:p w14:paraId="2E909CB6" w14:textId="77777777" w:rsidR="0083782E" w:rsidRPr="000E5F72" w:rsidRDefault="0083782E" w:rsidP="0083782E">
      <w:pPr>
        <w:rPr>
          <w:rFonts w:ascii="Maiandra GD" w:hAnsi="Maiandra GD"/>
          <w:color w:val="215E99" w:themeColor="text2" w:themeTint="BF"/>
        </w:rPr>
      </w:pPr>
      <w:r w:rsidRPr="0083782E">
        <w:rPr>
          <w:rFonts w:ascii="Maiandra GD" w:hAnsi="Maiandra GD"/>
          <w:color w:val="215E99" w:themeColor="text2" w:themeTint="BF"/>
        </w:rPr>
        <w:t xml:space="preserve">• </w:t>
      </w:r>
      <w:r w:rsidRPr="0083782E">
        <w:rPr>
          <w:rFonts w:ascii="Maiandra GD" w:hAnsi="Maiandra GD"/>
          <w:color w:val="215E99" w:themeColor="text2" w:themeTint="BF"/>
        </w:rPr>
        <w:tab/>
      </w:r>
      <w:r w:rsidRPr="000E5F72">
        <w:rPr>
          <w:rFonts w:ascii="Maiandra GD" w:hAnsi="Maiandra GD"/>
          <w:color w:val="215E99" w:themeColor="text2" w:themeTint="BF"/>
        </w:rPr>
        <w:t>Mechanical drawings reference “shutdowns as required,” but no schedule or window is provided.</w:t>
      </w:r>
    </w:p>
    <w:p w14:paraId="7CD8ABBC" w14:textId="77777777" w:rsidR="0083782E" w:rsidRPr="0083782E" w:rsidRDefault="0083782E" w:rsidP="0083782E">
      <w:pPr>
        <w:rPr>
          <w:rFonts w:ascii="Maiandra GD" w:hAnsi="Maiandra GD"/>
          <w:color w:val="215E99" w:themeColor="text2" w:themeTint="BF"/>
        </w:rPr>
      </w:pPr>
      <w:r w:rsidRPr="0083782E">
        <w:rPr>
          <w:rFonts w:ascii="Maiandra GD" w:hAnsi="Maiandra GD"/>
          <w:color w:val="215E99" w:themeColor="text2" w:themeTint="BF"/>
        </w:rPr>
        <w:t xml:space="preserve">• </w:t>
      </w:r>
      <w:r w:rsidRPr="0083782E">
        <w:rPr>
          <w:rFonts w:ascii="Maiandra GD" w:hAnsi="Maiandra GD"/>
          <w:color w:val="215E99" w:themeColor="text2" w:themeTint="BF"/>
        </w:rPr>
        <w:tab/>
        <w:t>Hospital operations must confirm acceptable shutdown periods.</w:t>
      </w:r>
    </w:p>
    <w:p w14:paraId="1F413F4A" w14:textId="77777777" w:rsidR="0083782E" w:rsidRPr="0083782E" w:rsidRDefault="0083782E" w:rsidP="0083782E">
      <w:pPr>
        <w:rPr>
          <w:rFonts w:ascii="Maiandra GD" w:hAnsi="Maiandra GD"/>
          <w:color w:val="215E99" w:themeColor="text2" w:themeTint="BF"/>
        </w:rPr>
      </w:pPr>
      <w:r w:rsidRPr="0083782E">
        <w:rPr>
          <w:rFonts w:ascii="Maiandra GD" w:hAnsi="Maiandra GD"/>
          <w:color w:val="215E99" w:themeColor="text2" w:themeTint="BF"/>
        </w:rPr>
        <w:t>Impact: High — bidders will price conservatively or exclude.</w:t>
      </w:r>
    </w:p>
    <w:p w14:paraId="1786DDF1" w14:textId="7BBBC705" w:rsidR="00BA7DA2" w:rsidRDefault="0083782E" w:rsidP="008F7DCC">
      <w:pPr>
        <w:rPr>
          <w:rFonts w:ascii="Maiandra GD" w:hAnsi="Maiandra GD"/>
          <w:color w:val="215E99" w:themeColor="text2" w:themeTint="BF"/>
        </w:rPr>
      </w:pPr>
      <w:r w:rsidRPr="0083782E">
        <w:rPr>
          <w:rFonts w:ascii="Maiandra GD" w:hAnsi="Maiandra GD"/>
          <w:color w:val="215E99" w:themeColor="text2" w:themeTint="BF"/>
        </w:rPr>
        <w:t>Recommendation: Add a shutdown matrix to the tender.</w:t>
      </w:r>
    </w:p>
    <w:p w14:paraId="4B4F46A2" w14:textId="77777777" w:rsidR="005B3882" w:rsidRPr="00C72D66" w:rsidRDefault="005B3882" w:rsidP="008F7DCC">
      <w:pPr>
        <w:rPr>
          <w:rFonts w:ascii="Maiandra GD" w:hAnsi="Maiandra GD"/>
          <w:color w:val="215E99" w:themeColor="text2" w:themeTint="BF"/>
        </w:rPr>
      </w:pPr>
    </w:p>
    <w:p w14:paraId="5E296CCA" w14:textId="1D6FEC5A" w:rsidR="007F2F4F" w:rsidRPr="003D6AAC" w:rsidRDefault="007F2F4F" w:rsidP="003D6AAC">
      <w:pPr>
        <w:pStyle w:val="ListParagraph"/>
        <w:numPr>
          <w:ilvl w:val="1"/>
          <w:numId w:val="3"/>
        </w:numPr>
        <w:rPr>
          <w:rFonts w:ascii="Maiandra GD" w:hAnsi="Maiandra GD"/>
          <w:b/>
          <w:bCs/>
          <w:color w:val="153D63" w:themeColor="text2" w:themeTint="E6"/>
        </w:rPr>
      </w:pPr>
      <w:r w:rsidRPr="003D6AAC">
        <w:rPr>
          <w:rFonts w:ascii="Maiandra GD" w:hAnsi="Maiandra GD"/>
          <w:b/>
          <w:bCs/>
          <w:color w:val="153D63" w:themeColor="text2" w:themeTint="E6"/>
        </w:rPr>
        <w:t>Infection</w:t>
      </w:r>
      <w:r w:rsidRPr="003D6AAC">
        <w:rPr>
          <w:rFonts w:ascii="Cambria Math" w:hAnsi="Cambria Math" w:cs="Cambria Math"/>
          <w:b/>
          <w:bCs/>
          <w:color w:val="153D63" w:themeColor="text2" w:themeTint="E6"/>
        </w:rPr>
        <w:t>‑</w:t>
      </w:r>
      <w:r w:rsidRPr="003D6AAC">
        <w:rPr>
          <w:rFonts w:ascii="Maiandra GD" w:hAnsi="Maiandra GD"/>
          <w:b/>
          <w:bCs/>
          <w:color w:val="153D63" w:themeColor="text2" w:themeTint="E6"/>
        </w:rPr>
        <w:t>Control Requirements Missing</w:t>
      </w:r>
    </w:p>
    <w:p w14:paraId="763F5C1E" w14:textId="77777777" w:rsidR="007F2F4F" w:rsidRPr="000E5F72" w:rsidRDefault="007F2F4F" w:rsidP="007F2F4F">
      <w:pPr>
        <w:rPr>
          <w:rFonts w:ascii="Maiandra GD" w:hAnsi="Maiandra GD"/>
          <w:color w:val="153D63" w:themeColor="text2" w:themeTint="E6"/>
        </w:rPr>
      </w:pPr>
      <w:r w:rsidRPr="000E5F72">
        <w:rPr>
          <w:rFonts w:ascii="Maiandra GD" w:hAnsi="Maiandra GD"/>
          <w:color w:val="153D63" w:themeColor="text2" w:themeTint="E6"/>
        </w:rPr>
        <w:t xml:space="preserve">• </w:t>
      </w:r>
      <w:r w:rsidRPr="000E5F72">
        <w:rPr>
          <w:rFonts w:ascii="Maiandra GD" w:hAnsi="Maiandra GD"/>
          <w:color w:val="153D63" w:themeColor="text2" w:themeTint="E6"/>
        </w:rPr>
        <w:tab/>
        <w:t>No ICRA matrix included.</w:t>
      </w:r>
    </w:p>
    <w:p w14:paraId="77BDE9D3" w14:textId="77777777" w:rsidR="007F2F4F" w:rsidRPr="000E5F72" w:rsidRDefault="007F2F4F" w:rsidP="007F2F4F">
      <w:pPr>
        <w:rPr>
          <w:rFonts w:ascii="Maiandra GD" w:hAnsi="Maiandra GD"/>
          <w:color w:val="153D63" w:themeColor="text2" w:themeTint="E6"/>
        </w:rPr>
      </w:pPr>
      <w:r w:rsidRPr="000E5F72">
        <w:rPr>
          <w:rFonts w:ascii="Maiandra GD" w:hAnsi="Maiandra GD"/>
          <w:color w:val="153D63" w:themeColor="text2" w:themeTint="E6"/>
        </w:rPr>
        <w:t xml:space="preserve">• </w:t>
      </w:r>
      <w:r w:rsidRPr="000E5F72">
        <w:rPr>
          <w:rFonts w:ascii="Maiandra GD" w:hAnsi="Maiandra GD"/>
          <w:color w:val="153D63" w:themeColor="text2" w:themeTint="E6"/>
        </w:rPr>
        <w:tab/>
        <w:t>No reference to negative</w:t>
      </w:r>
      <w:r w:rsidRPr="000E5F72">
        <w:rPr>
          <w:rFonts w:ascii="Cambria Math" w:hAnsi="Cambria Math" w:cs="Cambria Math"/>
          <w:color w:val="153D63" w:themeColor="text2" w:themeTint="E6"/>
        </w:rPr>
        <w:t>‑</w:t>
      </w:r>
      <w:r w:rsidRPr="000E5F72">
        <w:rPr>
          <w:rFonts w:ascii="Maiandra GD" w:hAnsi="Maiandra GD"/>
          <w:color w:val="153D63" w:themeColor="text2" w:themeTint="E6"/>
        </w:rPr>
        <w:t>pressure requirements in demolition areas.</w:t>
      </w:r>
    </w:p>
    <w:p w14:paraId="4BC03877" w14:textId="77777777" w:rsidR="007F2F4F" w:rsidRPr="000E5F72" w:rsidRDefault="007F2F4F" w:rsidP="007F2F4F">
      <w:pPr>
        <w:rPr>
          <w:rFonts w:ascii="Maiandra GD" w:hAnsi="Maiandra GD"/>
          <w:color w:val="153D63" w:themeColor="text2" w:themeTint="E6"/>
        </w:rPr>
      </w:pPr>
      <w:r w:rsidRPr="000E5F72">
        <w:rPr>
          <w:rFonts w:ascii="Maiandra GD" w:hAnsi="Maiandra GD"/>
          <w:color w:val="153D63" w:themeColor="text2" w:themeTint="E6"/>
        </w:rPr>
        <w:t>Impact: High — major scope gap in a live hospital environment.</w:t>
      </w:r>
    </w:p>
    <w:p w14:paraId="3CE4ADF0" w14:textId="34DC3FD0" w:rsidR="008F7DCC" w:rsidRDefault="007F2F4F" w:rsidP="000E5F72">
      <w:pPr>
        <w:rPr>
          <w:rFonts w:ascii="Maiandra GD" w:hAnsi="Maiandra GD"/>
          <w:color w:val="153D63" w:themeColor="text2" w:themeTint="E6"/>
        </w:rPr>
      </w:pPr>
      <w:r w:rsidRPr="000E5F72">
        <w:rPr>
          <w:rFonts w:ascii="Maiandra GD" w:hAnsi="Maiandra GD"/>
          <w:color w:val="153D63" w:themeColor="text2" w:themeTint="E6"/>
        </w:rPr>
        <w:t>Recommendation: Include ICRA matrix and infection</w:t>
      </w:r>
      <w:r w:rsidRPr="000E5F72">
        <w:rPr>
          <w:rFonts w:ascii="Cambria Math" w:hAnsi="Cambria Math" w:cs="Cambria Math"/>
          <w:color w:val="153D63" w:themeColor="text2" w:themeTint="E6"/>
        </w:rPr>
        <w:t>‑</w:t>
      </w:r>
      <w:r w:rsidRPr="000E5F72">
        <w:rPr>
          <w:rFonts w:ascii="Maiandra GD" w:hAnsi="Maiandra GD"/>
          <w:color w:val="153D63" w:themeColor="text2" w:themeTint="E6"/>
        </w:rPr>
        <w:t>control notes in Division 01.</w:t>
      </w:r>
    </w:p>
    <w:p w14:paraId="1E301152" w14:textId="77777777" w:rsidR="00DC1B9C" w:rsidRDefault="00DC1B9C" w:rsidP="000E5F72">
      <w:pPr>
        <w:rPr>
          <w:rFonts w:ascii="Maiandra GD" w:hAnsi="Maiandra GD"/>
          <w:color w:val="153D63" w:themeColor="text2" w:themeTint="E6"/>
        </w:rPr>
      </w:pPr>
    </w:p>
    <w:p w14:paraId="07EC456A" w14:textId="77777777" w:rsidR="00DC1B9C" w:rsidRDefault="00DC1B9C" w:rsidP="000E5F72">
      <w:pPr>
        <w:rPr>
          <w:rFonts w:ascii="Maiandra GD" w:hAnsi="Maiandra GD"/>
          <w:color w:val="153D63" w:themeColor="text2" w:themeTint="E6"/>
        </w:rPr>
      </w:pPr>
    </w:p>
    <w:p w14:paraId="6A3A3999" w14:textId="77777777" w:rsidR="00DC1B9C" w:rsidRPr="008F7DCC" w:rsidRDefault="00DC1B9C" w:rsidP="000E5F72">
      <w:pPr>
        <w:rPr>
          <w:rFonts w:ascii="Maiandra GD" w:hAnsi="Maiandra GD"/>
          <w:color w:val="215E99" w:themeColor="text2" w:themeTint="BF"/>
        </w:rPr>
      </w:pPr>
    </w:p>
    <w:p w14:paraId="2D0C37B5" w14:textId="448C15D1" w:rsidR="00A14BD9" w:rsidRPr="00DC1B9C" w:rsidRDefault="00A14BD9" w:rsidP="00DC1B9C">
      <w:pPr>
        <w:pStyle w:val="ListParagraph"/>
        <w:numPr>
          <w:ilvl w:val="1"/>
          <w:numId w:val="3"/>
        </w:numPr>
        <w:rPr>
          <w:rFonts w:ascii="Maiandra GD" w:hAnsi="Maiandra GD"/>
          <w:b/>
          <w:bCs/>
          <w:color w:val="153D63" w:themeColor="text2" w:themeTint="E6"/>
        </w:rPr>
      </w:pPr>
      <w:r w:rsidRPr="00DC1B9C">
        <w:rPr>
          <w:rFonts w:ascii="Maiandra GD" w:hAnsi="Maiandra GD"/>
          <w:b/>
          <w:bCs/>
          <w:color w:val="153D63" w:themeColor="text2" w:themeTint="E6"/>
        </w:rPr>
        <w:t>Conflicting Mechanical/Electrical Responsibilities</w:t>
      </w:r>
    </w:p>
    <w:p w14:paraId="48C1F711" w14:textId="77777777" w:rsidR="00A14BD9" w:rsidRPr="00F05EA8" w:rsidRDefault="00A14BD9" w:rsidP="00A14BD9">
      <w:pPr>
        <w:rPr>
          <w:rFonts w:ascii="Maiandra GD" w:hAnsi="Maiandra GD"/>
          <w:color w:val="153D63" w:themeColor="text2" w:themeTint="E6"/>
        </w:rPr>
      </w:pPr>
      <w:r w:rsidRPr="00F05EA8">
        <w:rPr>
          <w:rFonts w:ascii="Maiandra GD" w:hAnsi="Maiandra GD"/>
          <w:color w:val="153D63" w:themeColor="text2" w:themeTint="E6"/>
        </w:rPr>
        <w:t xml:space="preserve">• </w:t>
      </w:r>
      <w:r w:rsidRPr="00F05EA8">
        <w:rPr>
          <w:rFonts w:ascii="Maiandra GD" w:hAnsi="Maiandra GD"/>
          <w:color w:val="153D63" w:themeColor="text2" w:themeTint="E6"/>
        </w:rPr>
        <w:tab/>
        <w:t>Mechanical sheet M</w:t>
      </w:r>
      <w:r w:rsidRPr="00F05EA8">
        <w:rPr>
          <w:rFonts w:ascii="Cambria Math" w:hAnsi="Cambria Math" w:cs="Cambria Math"/>
          <w:color w:val="153D63" w:themeColor="text2" w:themeTint="E6"/>
        </w:rPr>
        <w:t>‑</w:t>
      </w:r>
      <w:r w:rsidRPr="00F05EA8">
        <w:rPr>
          <w:rFonts w:ascii="Maiandra GD" w:hAnsi="Maiandra GD"/>
          <w:color w:val="153D63" w:themeColor="text2" w:themeTint="E6"/>
        </w:rPr>
        <w:t>402 shows VFDs supplied by mechanical.</w:t>
      </w:r>
    </w:p>
    <w:p w14:paraId="5430189F" w14:textId="77777777" w:rsidR="00A14BD9" w:rsidRPr="00F05EA8" w:rsidRDefault="00A14BD9" w:rsidP="00A14BD9">
      <w:pPr>
        <w:rPr>
          <w:rFonts w:ascii="Maiandra GD" w:hAnsi="Maiandra GD"/>
          <w:color w:val="153D63" w:themeColor="text2" w:themeTint="E6"/>
        </w:rPr>
      </w:pPr>
      <w:r w:rsidRPr="00F05EA8">
        <w:rPr>
          <w:rFonts w:ascii="Maiandra GD" w:hAnsi="Maiandra GD"/>
          <w:color w:val="153D63" w:themeColor="text2" w:themeTint="E6"/>
        </w:rPr>
        <w:t xml:space="preserve">• </w:t>
      </w:r>
      <w:r w:rsidRPr="00F05EA8">
        <w:rPr>
          <w:rFonts w:ascii="Maiandra GD" w:hAnsi="Maiandra GD"/>
          <w:color w:val="153D63" w:themeColor="text2" w:themeTint="E6"/>
        </w:rPr>
        <w:tab/>
        <w:t>Electrical sheet E</w:t>
      </w:r>
      <w:r w:rsidRPr="00F05EA8">
        <w:rPr>
          <w:rFonts w:ascii="Cambria Math" w:hAnsi="Cambria Math" w:cs="Cambria Math"/>
          <w:color w:val="153D63" w:themeColor="text2" w:themeTint="E6"/>
        </w:rPr>
        <w:t>‑</w:t>
      </w:r>
      <w:r w:rsidRPr="00F05EA8">
        <w:rPr>
          <w:rFonts w:ascii="Maiandra GD" w:hAnsi="Maiandra GD"/>
          <w:color w:val="153D63" w:themeColor="text2" w:themeTint="E6"/>
        </w:rPr>
        <w:t>203 shows VFDs supplied by electrical.</w:t>
      </w:r>
    </w:p>
    <w:p w14:paraId="542D769C" w14:textId="77777777" w:rsidR="00A14BD9" w:rsidRPr="00F05EA8" w:rsidRDefault="00A14BD9" w:rsidP="00A14BD9">
      <w:pPr>
        <w:rPr>
          <w:rFonts w:ascii="Maiandra GD" w:hAnsi="Maiandra GD"/>
          <w:color w:val="153D63" w:themeColor="text2" w:themeTint="E6"/>
        </w:rPr>
      </w:pPr>
      <w:r w:rsidRPr="00F05EA8">
        <w:rPr>
          <w:rFonts w:ascii="Maiandra GD" w:hAnsi="Maiandra GD"/>
          <w:color w:val="153D63" w:themeColor="text2" w:themeTint="E6"/>
        </w:rPr>
        <w:t>Impact: Medium — bidders will double</w:t>
      </w:r>
      <w:r w:rsidRPr="00F05EA8">
        <w:rPr>
          <w:rFonts w:ascii="Cambria Math" w:hAnsi="Cambria Math" w:cs="Cambria Math"/>
          <w:color w:val="153D63" w:themeColor="text2" w:themeTint="E6"/>
        </w:rPr>
        <w:t>‑</w:t>
      </w:r>
      <w:r w:rsidRPr="00F05EA8">
        <w:rPr>
          <w:rFonts w:ascii="Maiandra GD" w:hAnsi="Maiandra GD"/>
          <w:color w:val="153D63" w:themeColor="text2" w:themeTint="E6"/>
        </w:rPr>
        <w:t>carry or exclude.</w:t>
      </w:r>
    </w:p>
    <w:p w14:paraId="13D64E8C" w14:textId="1B4AE127" w:rsidR="008F7DCC" w:rsidRPr="00F05EA8" w:rsidRDefault="00A14BD9" w:rsidP="00A14BD9">
      <w:pPr>
        <w:rPr>
          <w:rFonts w:ascii="Maiandra GD" w:hAnsi="Maiandra GD"/>
          <w:color w:val="215E99" w:themeColor="text2" w:themeTint="BF"/>
        </w:rPr>
      </w:pPr>
      <w:r w:rsidRPr="00F05EA8">
        <w:rPr>
          <w:rFonts w:ascii="Maiandra GD" w:hAnsi="Maiandra GD"/>
          <w:color w:val="153D63" w:themeColor="text2" w:themeTint="E6"/>
        </w:rPr>
        <w:t>Recommendation: Clarify responsible trade.</w:t>
      </w:r>
    </w:p>
    <w:p w14:paraId="26E3B2A4" w14:textId="77777777" w:rsidR="00AD2EAA" w:rsidRDefault="00AD2EAA" w:rsidP="008F7DCC">
      <w:pPr>
        <w:rPr>
          <w:rFonts w:ascii="Maiandra GD" w:hAnsi="Maiandra GD"/>
          <w:color w:val="215E99" w:themeColor="text2" w:themeTint="BF"/>
        </w:rPr>
      </w:pPr>
    </w:p>
    <w:p w14:paraId="67B15FB1" w14:textId="14447A0D" w:rsidR="003D519F" w:rsidRPr="00615DDE" w:rsidRDefault="003D519F" w:rsidP="00615DD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sz w:val="24"/>
          <w:szCs w:val="24"/>
          <w:lang w:eastAsia="en-CA"/>
          <w14:ligatures w14:val="none"/>
        </w:rPr>
      </w:pPr>
      <w:r w:rsidRPr="00615DDE">
        <w:rPr>
          <w:rFonts w:ascii="Maiandra GD" w:eastAsia="Times New Roman" w:hAnsi="Maiandra GD" w:cs="Times New Roman"/>
          <w:b/>
          <w:bCs/>
          <w:kern w:val="0"/>
          <w:sz w:val="24"/>
          <w:szCs w:val="24"/>
          <w:lang w:eastAsia="en-CA"/>
          <w14:ligatures w14:val="none"/>
        </w:rPr>
        <w:t>Drawing &amp; Specification Coherence Issues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3D519F" w:rsidRPr="003D519F" w14:paraId="3EAC22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B0E6F7" w14:textId="77777777" w:rsidR="003D519F" w:rsidRPr="003D519F" w:rsidRDefault="003D519F" w:rsidP="003D5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94728" w14:textId="77777777" w:rsidR="003D519F" w:rsidRPr="003D519F" w:rsidRDefault="003D519F" w:rsidP="003D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4B9091" w14:textId="77777777" w:rsidR="003D519F" w:rsidRPr="003D519F" w:rsidRDefault="003D519F" w:rsidP="003D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F5C5A6" w14:textId="77777777" w:rsidR="003D519F" w:rsidRPr="003D519F" w:rsidRDefault="003D519F" w:rsidP="003D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D519F" w:rsidRPr="003D519F" w14:paraId="03B059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4018F" w14:textId="77777777" w:rsidR="003D519F" w:rsidRPr="003D519F" w:rsidRDefault="003D519F" w:rsidP="003D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CBEA4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A5E6F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5C5C2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D519F" w:rsidRPr="003D519F" w14:paraId="72E487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65BEB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106BC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C3543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241273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D519F" w:rsidRPr="003D519F" w14:paraId="077EB3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74B53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192E2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CB8E1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CD3BDF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D519F" w:rsidRPr="003D519F" w14:paraId="771CB9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264C6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D0CFCE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C0DD70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FBF617" w14:textId="77777777" w:rsidR="003D519F" w:rsidRPr="003D519F" w:rsidRDefault="003D519F" w:rsidP="003D5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2AD8" w:rsidRPr="00212AD8" w14:paraId="4D384183" w14:textId="77777777" w:rsidTr="00004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F79582B" w14:textId="77777777" w:rsidR="00212AD8" w:rsidRPr="00004BA5" w:rsidRDefault="00212AD8" w:rsidP="00CB0DD8">
            <w:pPr>
              <w:rPr>
                <w:rFonts w:ascii="Maiandra GD" w:hAnsi="Maiandra GD"/>
                <w:color w:val="215E99" w:themeColor="text2" w:themeTint="BF"/>
              </w:rPr>
            </w:pPr>
            <w:r w:rsidRPr="00004BA5">
              <w:rPr>
                <w:rFonts w:ascii="Maiandra GD" w:hAnsi="Maiandra GD"/>
                <w:color w:val="215E99" w:themeColor="text2" w:themeTint="BF"/>
              </w:rPr>
              <w:t xml:space="preserve">Issue </w:t>
            </w:r>
            <w:r w:rsidRPr="00004BA5">
              <w:rPr>
                <w:rFonts w:ascii="Maiandra GD" w:hAnsi="Maiandra GD"/>
                <w:color w:val="215E99" w:themeColor="text2" w:themeTint="BF"/>
              </w:rPr>
              <w:tab/>
            </w:r>
            <w:r w:rsidRPr="00004BA5">
              <w:rPr>
                <w:rFonts w:ascii="Maiandra GD" w:hAnsi="Maiandra GD"/>
                <w:color w:val="215E99" w:themeColor="text2" w:themeTint="BF"/>
              </w:rPr>
              <w:tab/>
            </w:r>
            <w:r w:rsidRPr="00004BA5">
              <w:rPr>
                <w:rFonts w:ascii="Maiandra GD" w:hAnsi="Maiandra GD"/>
                <w:color w:val="215E99" w:themeColor="text2" w:themeTint="BF"/>
              </w:rPr>
              <w:tab/>
            </w:r>
            <w:r w:rsidRPr="00004BA5">
              <w:rPr>
                <w:rFonts w:ascii="Maiandra GD" w:hAnsi="Maiandra GD"/>
                <w:color w:val="215E99" w:themeColor="text2" w:themeTint="BF"/>
              </w:rPr>
              <w:tab/>
              <w:t xml:space="preserve">       Discipline     Impact           Recommendation</w:t>
            </w:r>
          </w:p>
        </w:tc>
      </w:tr>
      <w:tr w:rsidR="00212AD8" w:rsidRPr="00212AD8" w14:paraId="70B2E15D" w14:textId="77777777" w:rsidTr="00004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2361AE8" w14:textId="77777777" w:rsidR="00212AD8" w:rsidRPr="00212AD8" w:rsidRDefault="00212AD8" w:rsidP="00CB0DD8">
            <w:pPr>
              <w:rPr>
                <w:rFonts w:ascii="Maiandra GD" w:hAnsi="Maiandra GD"/>
                <w:b w:val="0"/>
                <w:bCs w:val="0"/>
                <w:color w:val="215E99" w:themeColor="text2" w:themeTint="BF"/>
              </w:rPr>
            </w:pPr>
          </w:p>
        </w:tc>
      </w:tr>
      <w:tr w:rsidR="00212AD8" w:rsidRPr="00004BA5" w14:paraId="5BD21384" w14:textId="77777777" w:rsidTr="00004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97C97A3" w14:textId="77777777" w:rsidR="00212AD8" w:rsidRPr="00004BA5" w:rsidRDefault="00212AD8" w:rsidP="00CB0DD8">
            <w:pPr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</w:pPr>
            <w:r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>Missing demolition notes on M</w:t>
            </w:r>
            <w:r w:rsidRPr="00004BA5">
              <w:rPr>
                <w:rFonts w:ascii="Cambria Math" w:hAnsi="Cambria Math" w:cs="Cambria Math"/>
                <w:b w:val="0"/>
                <w:bCs w:val="0"/>
                <w:color w:val="215E99" w:themeColor="text2" w:themeTint="BF"/>
                <w:sz w:val="20"/>
                <w:szCs w:val="20"/>
              </w:rPr>
              <w:t>‑</w:t>
            </w:r>
            <w:r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>101   Mechanical    Medium    Add demolition scope to match architectural</w:t>
            </w:r>
          </w:p>
        </w:tc>
      </w:tr>
      <w:tr w:rsidR="00212AD8" w:rsidRPr="00004BA5" w14:paraId="2E0B6114" w14:textId="77777777" w:rsidTr="00004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5439DD9" w14:textId="438FEDC5" w:rsidR="00212AD8" w:rsidRPr="00004BA5" w:rsidRDefault="00212AD8" w:rsidP="00CB0DD8">
            <w:pPr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</w:pPr>
            <w:r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 xml:space="preserve">Architectural finish schedule              </w:t>
            </w:r>
            <w:r w:rsidR="002E2884"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 xml:space="preserve">Architectural </w:t>
            </w:r>
            <w:r w:rsidR="002E2884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 xml:space="preserve">  </w:t>
            </w:r>
            <w:r w:rsidR="002E2884"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>Medium</w:t>
            </w:r>
            <w:r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 xml:space="preserve">    Provide full finish schedule</w:t>
            </w:r>
          </w:p>
        </w:tc>
      </w:tr>
      <w:tr w:rsidR="00212AD8" w:rsidRPr="00004BA5" w14:paraId="3572888B" w14:textId="77777777" w:rsidTr="00004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5980E8A" w14:textId="77777777" w:rsidR="00212AD8" w:rsidRPr="00004BA5" w:rsidRDefault="00212AD8" w:rsidP="00CB0DD8">
            <w:pPr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</w:pPr>
            <w:r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>incomplete</w:t>
            </w:r>
          </w:p>
        </w:tc>
      </w:tr>
      <w:tr w:rsidR="00212AD8" w:rsidRPr="00004BA5" w14:paraId="72901DA5" w14:textId="77777777" w:rsidTr="00004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5ED101F" w14:textId="77777777" w:rsidR="00212AD8" w:rsidRPr="00004BA5" w:rsidRDefault="00212AD8" w:rsidP="00CB0DD8">
            <w:pPr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</w:pPr>
            <w:r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>Electrical panel schedules missing      Electrical         High         Include panel schedules before tender</w:t>
            </w:r>
          </w:p>
        </w:tc>
      </w:tr>
      <w:tr w:rsidR="00212AD8" w:rsidRPr="00004BA5" w14:paraId="0C65DA9B" w14:textId="77777777" w:rsidTr="00004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DCE3F7A" w14:textId="77777777" w:rsidR="00212AD8" w:rsidRPr="00004BA5" w:rsidRDefault="00212AD8" w:rsidP="00CB0DD8">
            <w:pPr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</w:pPr>
            <w:r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>Phasing notes contradict drawing     Multiple          High         Rewrite phasing notes for clarity</w:t>
            </w:r>
          </w:p>
        </w:tc>
      </w:tr>
      <w:tr w:rsidR="00212AD8" w:rsidRPr="00004BA5" w14:paraId="5E19ED2B" w14:textId="77777777" w:rsidTr="00004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A801106" w14:textId="77777777" w:rsidR="00212AD8" w:rsidRPr="00004BA5" w:rsidRDefault="00212AD8" w:rsidP="00CB0DD8">
            <w:pPr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</w:pPr>
            <w:r w:rsidRPr="00004BA5">
              <w:rPr>
                <w:rFonts w:ascii="Maiandra GD" w:hAnsi="Maiandra GD"/>
                <w:b w:val="0"/>
                <w:bCs w:val="0"/>
                <w:color w:val="215E99" w:themeColor="text2" w:themeTint="BF"/>
                <w:sz w:val="20"/>
                <w:szCs w:val="20"/>
              </w:rPr>
              <w:t>sequencing</w:t>
            </w:r>
          </w:p>
        </w:tc>
      </w:tr>
    </w:tbl>
    <w:p w14:paraId="25180EDB" w14:textId="77777777" w:rsidR="00E42CF8" w:rsidRPr="00004BA5" w:rsidRDefault="00E42CF8" w:rsidP="008F7DCC">
      <w:pPr>
        <w:rPr>
          <w:rFonts w:ascii="Maiandra GD" w:hAnsi="Maiandra GD"/>
          <w:color w:val="153D63" w:themeColor="text2" w:themeTint="E6"/>
        </w:rPr>
      </w:pPr>
    </w:p>
    <w:p w14:paraId="145FCDF9" w14:textId="77777777" w:rsidR="00E42CF8" w:rsidRDefault="00E42CF8" w:rsidP="008F7DCC">
      <w:pPr>
        <w:rPr>
          <w:rFonts w:ascii="Maiandra GD" w:hAnsi="Maiandra GD"/>
          <w:b/>
          <w:bCs/>
          <w:color w:val="153D63" w:themeColor="text2" w:themeTint="E6"/>
        </w:rPr>
      </w:pPr>
    </w:p>
    <w:p w14:paraId="2FF1EB3C" w14:textId="288DC9CC" w:rsidR="0052712D" w:rsidRPr="00E63260" w:rsidRDefault="0052712D" w:rsidP="00E632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E63260">
        <w:rPr>
          <w:rFonts w:ascii="Maiandra GD" w:eastAsia="Times New Roman" w:hAnsi="Maiandra GD" w:cs="Times New Roman"/>
          <w:b/>
          <w:bCs/>
          <w:kern w:val="0"/>
          <w:lang w:eastAsia="en-CA"/>
          <w14:ligatures w14:val="none"/>
        </w:rPr>
        <w:t>PIF Healthcare Risk Map (Text Excerpt)</w:t>
      </w:r>
    </w:p>
    <w:p w14:paraId="6EDA3775" w14:textId="77777777" w:rsidR="0052712D" w:rsidRPr="0052712D" w:rsidRDefault="0052712D" w:rsidP="0052712D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t>High</w:t>
      </w: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noBreakHyphen/>
        <w:t>Risk Zones:</w:t>
      </w:r>
    </w:p>
    <w:p w14:paraId="448E7B77" w14:textId="77777777" w:rsidR="0052712D" w:rsidRPr="0052712D" w:rsidRDefault="0052712D" w:rsidP="005271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t>Mechanical Room 2B — shutdown coordination</w:t>
      </w:r>
    </w:p>
    <w:p w14:paraId="292356BA" w14:textId="77777777" w:rsidR="0052712D" w:rsidRPr="0052712D" w:rsidRDefault="0052712D" w:rsidP="005271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t>Corridor 2C — infection</w:t>
      </w: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noBreakHyphen/>
        <w:t>control containment</w:t>
      </w:r>
    </w:p>
    <w:p w14:paraId="4BC2F6E2" w14:textId="77777777" w:rsidR="0052712D" w:rsidRPr="0052712D" w:rsidRDefault="0052712D" w:rsidP="005271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t>Electrical Room 2E — temporary power routing</w:t>
      </w:r>
    </w:p>
    <w:p w14:paraId="118629BA" w14:textId="77777777" w:rsidR="0052712D" w:rsidRPr="0052712D" w:rsidRDefault="0052712D" w:rsidP="0052712D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t>Moderate</w:t>
      </w: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noBreakHyphen/>
        <w:t>Risk Zones:</w:t>
      </w:r>
    </w:p>
    <w:p w14:paraId="62FB6E14" w14:textId="77777777" w:rsidR="0052712D" w:rsidRPr="0052712D" w:rsidRDefault="0052712D" w:rsidP="005271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t>Rooftop — crane access and staging</w:t>
      </w:r>
    </w:p>
    <w:p w14:paraId="62BAE73B" w14:textId="77777777" w:rsidR="0052712D" w:rsidRPr="0052712D" w:rsidRDefault="0052712D" w:rsidP="005271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52712D">
        <w:rPr>
          <w:rFonts w:ascii="Maiandra GD" w:eastAsia="Times New Roman" w:hAnsi="Maiandra GD" w:cs="Times New Roman"/>
          <w:kern w:val="0"/>
          <w:lang w:eastAsia="en-CA"/>
          <w14:ligatures w14:val="none"/>
        </w:rPr>
        <w:t>Basement mechanical — temporary cooling requirements</w:t>
      </w:r>
    </w:p>
    <w:p w14:paraId="2C922947" w14:textId="77777777" w:rsidR="00AD2EAA" w:rsidRDefault="00AD2EAA" w:rsidP="00AD2EAA">
      <w:pPr>
        <w:rPr>
          <w:rFonts w:ascii="Maiandra GD" w:hAnsi="Maiandra GD"/>
          <w:color w:val="215E99" w:themeColor="text2" w:themeTint="BF"/>
        </w:rPr>
      </w:pPr>
    </w:p>
    <w:p w14:paraId="25FBB80F" w14:textId="77777777" w:rsidR="00983FB4" w:rsidRDefault="00983FB4" w:rsidP="00AD2EAA">
      <w:pPr>
        <w:rPr>
          <w:rFonts w:ascii="Maiandra GD" w:hAnsi="Maiandra GD"/>
          <w:color w:val="215E99" w:themeColor="text2" w:themeTint="BF"/>
        </w:rPr>
      </w:pPr>
    </w:p>
    <w:p w14:paraId="77FE933F" w14:textId="77777777" w:rsidR="00207713" w:rsidRDefault="00207713" w:rsidP="00CD4D6A">
      <w:pPr>
        <w:rPr>
          <w:rFonts w:ascii="Maiandra GD" w:hAnsi="Maiandra GD"/>
          <w:color w:val="215E99" w:themeColor="text2" w:themeTint="BF"/>
        </w:rPr>
      </w:pPr>
    </w:p>
    <w:p w14:paraId="15D7F96E" w14:textId="77777777" w:rsidR="00A9519C" w:rsidRPr="00A9519C" w:rsidRDefault="00A9519C" w:rsidP="00A9519C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</w:p>
    <w:p w14:paraId="1FD054D0" w14:textId="77777777" w:rsidR="00C20223" w:rsidRPr="00C20223" w:rsidRDefault="00C20223" w:rsidP="00C20223">
      <w:pPr>
        <w:pStyle w:val="ListParagraph"/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</w:p>
    <w:p w14:paraId="73F35C36" w14:textId="6C053BB4" w:rsidR="00C375C5" w:rsidRPr="00C20223" w:rsidRDefault="00C375C5" w:rsidP="00C2022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A9519C">
        <w:rPr>
          <w:rFonts w:ascii="Maiandra GD" w:eastAsia="Times New Roman" w:hAnsi="Maiandra GD" w:cs="Times New Roman"/>
          <w:b/>
          <w:bCs/>
          <w:kern w:val="0"/>
          <w:lang w:eastAsia="en-CA"/>
          <w14:ligatures w14:val="none"/>
        </w:rPr>
        <w:t>Pr</w:t>
      </w:r>
      <w:r w:rsidRPr="00C20223">
        <w:rPr>
          <w:rFonts w:ascii="Maiandra GD" w:eastAsia="Times New Roman" w:hAnsi="Maiandra GD" w:cs="Times New Roman"/>
          <w:b/>
          <w:bCs/>
          <w:kern w:val="0"/>
          <w:lang w:eastAsia="en-CA"/>
          <w14:ligatures w14:val="none"/>
        </w:rPr>
        <w:t>e</w:t>
      </w:r>
      <w:r w:rsidRPr="00C20223">
        <w:rPr>
          <w:rFonts w:ascii="Maiandra GD" w:eastAsia="Times New Roman" w:hAnsi="Maiandra GD" w:cs="Times New Roman"/>
          <w:b/>
          <w:bCs/>
          <w:kern w:val="0"/>
          <w:lang w:eastAsia="en-CA"/>
          <w14:ligatures w14:val="none"/>
        </w:rPr>
        <w:noBreakHyphen/>
        <w:t>Release Addenda &amp; Clarification List</w:t>
      </w:r>
    </w:p>
    <w:p w14:paraId="5A2567B8" w14:textId="77777777" w:rsidR="00C375C5" w:rsidRPr="00C375C5" w:rsidRDefault="00C375C5" w:rsidP="00C375C5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Addenda Required</w:t>
      </w:r>
    </w:p>
    <w:p w14:paraId="6808F175" w14:textId="77777777" w:rsidR="00C375C5" w:rsidRPr="00C375C5" w:rsidRDefault="00C375C5" w:rsidP="00C3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Add shutdown matrix</w:t>
      </w:r>
    </w:p>
    <w:p w14:paraId="3A23F9C2" w14:textId="77777777" w:rsidR="00C375C5" w:rsidRPr="00C375C5" w:rsidRDefault="00C375C5" w:rsidP="00C3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Add ICRA matrix</w:t>
      </w:r>
    </w:p>
    <w:p w14:paraId="113162AB" w14:textId="77777777" w:rsidR="00C375C5" w:rsidRPr="00C375C5" w:rsidRDefault="00C375C5" w:rsidP="00C3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Clarify VFD supply responsibility</w:t>
      </w:r>
    </w:p>
    <w:p w14:paraId="2EA2EFC5" w14:textId="77777777" w:rsidR="00C375C5" w:rsidRPr="00C375C5" w:rsidRDefault="00C375C5" w:rsidP="00C3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Add temporary works requirements</w:t>
      </w:r>
    </w:p>
    <w:p w14:paraId="3BD53481" w14:textId="77777777" w:rsidR="00C375C5" w:rsidRPr="00C375C5" w:rsidRDefault="00C375C5" w:rsidP="00C3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Provide missing panel schedules</w:t>
      </w:r>
    </w:p>
    <w:p w14:paraId="7D4C0DD4" w14:textId="77777777" w:rsidR="00C375C5" w:rsidRPr="00C375C5" w:rsidRDefault="00C375C5" w:rsidP="00C3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Provide complete finish schedule</w:t>
      </w:r>
    </w:p>
    <w:p w14:paraId="69BB7D77" w14:textId="77777777" w:rsidR="00C375C5" w:rsidRPr="00C375C5" w:rsidRDefault="00C375C5" w:rsidP="00C375C5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Clarifications</w:t>
      </w:r>
    </w:p>
    <w:p w14:paraId="58C93D62" w14:textId="77777777" w:rsidR="00C375C5" w:rsidRPr="00C375C5" w:rsidRDefault="00C375C5" w:rsidP="00C375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Confirm access route for equipment removal</w:t>
      </w:r>
    </w:p>
    <w:p w14:paraId="3B44BBCF" w14:textId="77777777" w:rsidR="00C375C5" w:rsidRPr="00C375C5" w:rsidRDefault="00C375C5" w:rsidP="00C375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Confirm after</w:t>
      </w: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noBreakHyphen/>
        <w:t>hours work requirements</w:t>
      </w:r>
    </w:p>
    <w:p w14:paraId="56E5BA8E" w14:textId="77777777" w:rsidR="00C375C5" w:rsidRPr="00C375C5" w:rsidRDefault="00C375C5" w:rsidP="00C375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Confirm infection</w:t>
      </w: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noBreakHyphen/>
        <w:t>control staging areas</w:t>
      </w:r>
    </w:p>
    <w:p w14:paraId="36FE6956" w14:textId="2FD788CA" w:rsidR="00C375C5" w:rsidRPr="00C375C5" w:rsidRDefault="00C375C5" w:rsidP="00C375C5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kern w:val="0"/>
          <w:lang w:eastAsia="en-CA"/>
          <w14:ligatures w14:val="none"/>
        </w:rPr>
      </w:pPr>
      <w:r w:rsidRPr="00C375C5">
        <w:rPr>
          <w:rFonts w:ascii="Maiandra GD" w:eastAsia="Times New Roman" w:hAnsi="Maiandra GD" w:cs="Times New Roman"/>
          <w:kern w:val="0"/>
          <w:lang w:eastAsia="en-CA"/>
          <w14:ligatures w14:val="none"/>
        </w:rPr>
        <w:t>.</w:t>
      </w:r>
    </w:p>
    <w:p w14:paraId="460D7A12" w14:textId="3FF34D90" w:rsidR="007E6197" w:rsidRPr="008F7DCC" w:rsidRDefault="007E6197" w:rsidP="00C375C5">
      <w:pPr>
        <w:rPr>
          <w:rFonts w:ascii="Maiandra GD" w:hAnsi="Maiandra GD"/>
          <w:color w:val="215E99" w:themeColor="text2" w:themeTint="BF"/>
        </w:rPr>
      </w:pPr>
    </w:p>
    <w:sectPr w:rsidR="007E6197" w:rsidRPr="008F7DCC" w:rsidSect="009D6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44D1" w14:textId="77777777" w:rsidR="006F745E" w:rsidRDefault="006F745E" w:rsidP="00D23588">
      <w:pPr>
        <w:spacing w:after="0" w:line="240" w:lineRule="auto"/>
      </w:pPr>
      <w:r>
        <w:separator/>
      </w:r>
    </w:p>
  </w:endnote>
  <w:endnote w:type="continuationSeparator" w:id="0">
    <w:p w14:paraId="17BFAC10" w14:textId="77777777" w:rsidR="006F745E" w:rsidRDefault="006F745E" w:rsidP="00D2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6E3" w14:textId="77777777" w:rsidR="006D7753" w:rsidRDefault="006D7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59CF" w14:textId="4CB58717" w:rsidR="009D68E3" w:rsidRPr="009D68E3" w:rsidRDefault="009D68E3">
    <w:pPr>
      <w:pStyle w:val="Footer"/>
      <w:rPr>
        <w:color w:val="215E99" w:themeColor="text2" w:themeTint="BF"/>
      </w:rPr>
    </w:pPr>
    <w:r w:rsidRPr="009D68E3">
      <w:rPr>
        <w:color w:val="215E99" w:themeColor="text2" w:themeTint="BF"/>
      </w:rPr>
      <w:t>Jim Reynolds Consulting</w:t>
    </w:r>
    <w:r w:rsidRPr="009D68E3">
      <w:rPr>
        <w:color w:val="215E99" w:themeColor="text2" w:themeTint="BF"/>
      </w:rPr>
      <w:tab/>
      <w:t xml:space="preserve"> 416-346-8909 </w:t>
    </w:r>
    <w:r w:rsidRPr="009D68E3">
      <w:rPr>
        <w:color w:val="215E99" w:themeColor="text2" w:themeTint="BF"/>
      </w:rPr>
      <w:tab/>
      <w:t>jimpreynolds@outlook.com</w:t>
    </w:r>
  </w:p>
  <w:p w14:paraId="318BD121" w14:textId="77777777" w:rsidR="009D68E3" w:rsidRDefault="009D6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665D" w14:textId="77777777" w:rsidR="006D7753" w:rsidRDefault="006D7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0AC4" w14:textId="77777777" w:rsidR="006F745E" w:rsidRDefault="006F745E" w:rsidP="00D23588">
      <w:pPr>
        <w:spacing w:after="0" w:line="240" w:lineRule="auto"/>
      </w:pPr>
      <w:r>
        <w:separator/>
      </w:r>
    </w:p>
  </w:footnote>
  <w:footnote w:type="continuationSeparator" w:id="0">
    <w:p w14:paraId="389C6E21" w14:textId="77777777" w:rsidR="006F745E" w:rsidRDefault="006F745E" w:rsidP="00D2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B98A" w14:textId="77777777" w:rsidR="006D7753" w:rsidRDefault="006D7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AAF8" w14:textId="6EC1250F" w:rsidR="00D23588" w:rsidRPr="00D23588" w:rsidRDefault="00D23588">
    <w:pPr>
      <w:pStyle w:val="Header"/>
      <w:rPr>
        <w:color w:val="215E99" w:themeColor="text2" w:themeTint="BF"/>
        <w:sz w:val="24"/>
        <w:szCs w:val="24"/>
      </w:rPr>
    </w:pPr>
    <w:r w:rsidRPr="00D23588">
      <w:rPr>
        <w:color w:val="215E99" w:themeColor="text2" w:themeTint="BF"/>
        <w:sz w:val="56"/>
        <w:szCs w:val="56"/>
      </w:rPr>
      <w:t>JRC</w:t>
    </w:r>
    <w:r w:rsidRPr="00D23588">
      <w:rPr>
        <w:color w:val="215E99" w:themeColor="text2" w:themeTint="BF"/>
        <w:sz w:val="24"/>
        <w:szCs w:val="24"/>
      </w:rPr>
      <w:t xml:space="preserve"> Pre-Construction Intelligence </w:t>
    </w:r>
    <w:r w:rsidR="00B505D4">
      <w:rPr>
        <w:color w:val="215E99" w:themeColor="text2" w:themeTint="BF"/>
        <w:sz w:val="24"/>
        <w:szCs w:val="24"/>
      </w:rPr>
      <w:t>F</w:t>
    </w:r>
    <w:r w:rsidRPr="00D23588">
      <w:rPr>
        <w:color w:val="215E99" w:themeColor="text2" w:themeTint="BF"/>
        <w:sz w:val="24"/>
        <w:szCs w:val="24"/>
      </w:rPr>
      <w:t>ramework</w:t>
    </w:r>
  </w:p>
  <w:p w14:paraId="3B749F4B" w14:textId="77777777" w:rsidR="00D23588" w:rsidRDefault="00D23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FFD1" w14:textId="77777777" w:rsidR="006D7753" w:rsidRDefault="006D7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4FB"/>
    <w:multiLevelType w:val="hybridMultilevel"/>
    <w:tmpl w:val="6C22F1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FFD"/>
    <w:multiLevelType w:val="multilevel"/>
    <w:tmpl w:val="1BE6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C5441"/>
    <w:multiLevelType w:val="multilevel"/>
    <w:tmpl w:val="FECC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F3839"/>
    <w:multiLevelType w:val="multilevel"/>
    <w:tmpl w:val="45C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331DB"/>
    <w:multiLevelType w:val="hybridMultilevel"/>
    <w:tmpl w:val="BA18C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7981"/>
    <w:multiLevelType w:val="multilevel"/>
    <w:tmpl w:val="25A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D4A7D"/>
    <w:multiLevelType w:val="multilevel"/>
    <w:tmpl w:val="CAC22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67517B"/>
    <w:multiLevelType w:val="multilevel"/>
    <w:tmpl w:val="368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685401">
    <w:abstractNumId w:val="0"/>
  </w:num>
  <w:num w:numId="2" w16cid:durableId="407651663">
    <w:abstractNumId w:val="4"/>
  </w:num>
  <w:num w:numId="3" w16cid:durableId="1317221758">
    <w:abstractNumId w:val="6"/>
  </w:num>
  <w:num w:numId="4" w16cid:durableId="1014263340">
    <w:abstractNumId w:val="2"/>
  </w:num>
  <w:num w:numId="5" w16cid:durableId="330453662">
    <w:abstractNumId w:val="7"/>
  </w:num>
  <w:num w:numId="6" w16cid:durableId="324475071">
    <w:abstractNumId w:val="3"/>
  </w:num>
  <w:num w:numId="7" w16cid:durableId="203834293">
    <w:abstractNumId w:val="1"/>
  </w:num>
  <w:num w:numId="8" w16cid:durableId="206988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CC"/>
    <w:rsid w:val="00004BA5"/>
    <w:rsid w:val="0006000A"/>
    <w:rsid w:val="000B230A"/>
    <w:rsid w:val="000D7FD1"/>
    <w:rsid w:val="000E5F72"/>
    <w:rsid w:val="001556A0"/>
    <w:rsid w:val="001C133C"/>
    <w:rsid w:val="00207713"/>
    <w:rsid w:val="00212AD8"/>
    <w:rsid w:val="00221407"/>
    <w:rsid w:val="00266CBD"/>
    <w:rsid w:val="002E2884"/>
    <w:rsid w:val="00300DD7"/>
    <w:rsid w:val="003A5D73"/>
    <w:rsid w:val="003D519F"/>
    <w:rsid w:val="003D6AAC"/>
    <w:rsid w:val="004135F2"/>
    <w:rsid w:val="00425BB7"/>
    <w:rsid w:val="0047504A"/>
    <w:rsid w:val="004E7415"/>
    <w:rsid w:val="004F613A"/>
    <w:rsid w:val="004F6582"/>
    <w:rsid w:val="0052712D"/>
    <w:rsid w:val="005407B1"/>
    <w:rsid w:val="00580108"/>
    <w:rsid w:val="005B3882"/>
    <w:rsid w:val="00615DDE"/>
    <w:rsid w:val="006D1CED"/>
    <w:rsid w:val="006D7753"/>
    <w:rsid w:val="006F745E"/>
    <w:rsid w:val="007324DF"/>
    <w:rsid w:val="00773C7E"/>
    <w:rsid w:val="007B0BCA"/>
    <w:rsid w:val="007E6197"/>
    <w:rsid w:val="007F2F4F"/>
    <w:rsid w:val="007F72F8"/>
    <w:rsid w:val="00820490"/>
    <w:rsid w:val="008374A7"/>
    <w:rsid w:val="0083782E"/>
    <w:rsid w:val="00894CC1"/>
    <w:rsid w:val="008A2D97"/>
    <w:rsid w:val="008F7DCC"/>
    <w:rsid w:val="00910532"/>
    <w:rsid w:val="009321F9"/>
    <w:rsid w:val="009454F2"/>
    <w:rsid w:val="00976AE1"/>
    <w:rsid w:val="00983FB4"/>
    <w:rsid w:val="009D68E3"/>
    <w:rsid w:val="00A14BD9"/>
    <w:rsid w:val="00A9519C"/>
    <w:rsid w:val="00AC06F4"/>
    <w:rsid w:val="00AD2EAA"/>
    <w:rsid w:val="00B363D7"/>
    <w:rsid w:val="00B505D4"/>
    <w:rsid w:val="00BA7DA2"/>
    <w:rsid w:val="00BD0B00"/>
    <w:rsid w:val="00BD0F95"/>
    <w:rsid w:val="00BE63BA"/>
    <w:rsid w:val="00BF4292"/>
    <w:rsid w:val="00C104FD"/>
    <w:rsid w:val="00C20223"/>
    <w:rsid w:val="00C26524"/>
    <w:rsid w:val="00C375C5"/>
    <w:rsid w:val="00C72B72"/>
    <w:rsid w:val="00C72D66"/>
    <w:rsid w:val="00C87BEC"/>
    <w:rsid w:val="00CD4D6A"/>
    <w:rsid w:val="00D23588"/>
    <w:rsid w:val="00DB1A2B"/>
    <w:rsid w:val="00DB6C70"/>
    <w:rsid w:val="00DC1B9C"/>
    <w:rsid w:val="00DE29C6"/>
    <w:rsid w:val="00DE4A2B"/>
    <w:rsid w:val="00E203DD"/>
    <w:rsid w:val="00E3185D"/>
    <w:rsid w:val="00E42CF8"/>
    <w:rsid w:val="00E60802"/>
    <w:rsid w:val="00E63260"/>
    <w:rsid w:val="00EA07F7"/>
    <w:rsid w:val="00F05EA8"/>
    <w:rsid w:val="00F20FE7"/>
    <w:rsid w:val="00F258E5"/>
    <w:rsid w:val="00F66141"/>
    <w:rsid w:val="00F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914BE"/>
  <w15:chartTrackingRefBased/>
  <w15:docId w15:val="{FB604BCD-26D2-4132-8D4E-A4A468AA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D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588"/>
  </w:style>
  <w:style w:type="paragraph" w:styleId="Footer">
    <w:name w:val="footer"/>
    <w:basedOn w:val="Normal"/>
    <w:link w:val="FooterChar"/>
    <w:uiPriority w:val="99"/>
    <w:unhideWhenUsed/>
    <w:rsid w:val="00D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88"/>
  </w:style>
  <w:style w:type="table" w:styleId="TableGrid">
    <w:name w:val="Table Grid"/>
    <w:basedOn w:val="TableNormal"/>
    <w:uiPriority w:val="39"/>
    <w:rsid w:val="0021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204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204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004B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2586</Characters>
  <Application>Microsoft Office Word</Application>
  <DocSecurity>0</DocSecurity>
  <Lines>99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Reynolds</dc:creator>
  <cp:keywords/>
  <dc:description/>
  <cp:lastModifiedBy>Jim Reynolds</cp:lastModifiedBy>
  <cp:revision>2</cp:revision>
  <dcterms:created xsi:type="dcterms:W3CDTF">2026-02-28T16:45:00Z</dcterms:created>
  <dcterms:modified xsi:type="dcterms:W3CDTF">2026-02-28T16:45:00Z</dcterms:modified>
</cp:coreProperties>
</file>